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92A926">
      <w:pPr>
        <w:pStyle w:val="3"/>
        <w:spacing w:before="309" w:line="193" w:lineRule="auto"/>
        <w:ind w:left="1838"/>
        <w:rPr>
          <w:b/>
          <w:bCs/>
          <w:color w:val="262626"/>
          <w:spacing w:val="-1"/>
          <w:sz w:val="72"/>
          <w:szCs w:val="72"/>
          <w:u w:val="single" w:color="7F7F7F"/>
          <w:lang w:eastAsia="zh-CN"/>
        </w:rPr>
      </w:pPr>
    </w:p>
    <w:p w14:paraId="68F82CD2">
      <w:pPr>
        <w:pStyle w:val="3"/>
        <w:spacing w:before="309" w:line="193" w:lineRule="auto"/>
        <w:ind w:left="1838"/>
        <w:rPr>
          <w:b/>
          <w:bCs/>
          <w:color w:val="262626"/>
          <w:spacing w:val="-1"/>
          <w:sz w:val="72"/>
          <w:szCs w:val="72"/>
          <w:u w:val="single" w:color="7F7F7F"/>
          <w:lang w:eastAsia="zh-CN"/>
        </w:rPr>
      </w:pPr>
    </w:p>
    <w:p w14:paraId="2E4CD6B6">
      <w:pPr>
        <w:pStyle w:val="3"/>
        <w:spacing w:before="309" w:line="193" w:lineRule="auto"/>
        <w:rPr>
          <w:b/>
          <w:bCs/>
          <w:color w:val="262626"/>
          <w:spacing w:val="-1"/>
          <w:sz w:val="72"/>
          <w:szCs w:val="72"/>
          <w:u w:val="single" w:color="7F7F7F"/>
          <w:lang w:eastAsia="zh-CN"/>
        </w:rPr>
      </w:pPr>
    </w:p>
    <w:p w14:paraId="634CABD6">
      <w:pPr>
        <w:pStyle w:val="3"/>
        <w:spacing w:before="309" w:line="193" w:lineRule="auto"/>
        <w:rPr>
          <w:sz w:val="72"/>
          <w:szCs w:val="72"/>
        </w:rPr>
      </w:pPr>
      <w:r>
        <w:rPr>
          <w:rFonts w:hint="eastAsia"/>
          <w:b/>
          <w:bCs/>
          <w:color w:val="262626"/>
          <w:spacing w:val="-1"/>
          <w:sz w:val="72"/>
          <w:szCs w:val="72"/>
          <w:u w:val="single" w:color="7F7F7F"/>
          <w:lang w:eastAsia="zh-CN"/>
        </w:rPr>
        <w:t>DEES</w:t>
      </w:r>
      <w:r>
        <w:rPr>
          <w:rFonts w:hint="eastAsia"/>
          <w:b/>
          <w:bCs/>
          <w:color w:val="262626"/>
          <w:spacing w:val="-1"/>
          <w:sz w:val="72"/>
          <w:szCs w:val="72"/>
          <w:u w:val="single" w:color="7F7F7F"/>
        </w:rPr>
        <w:t>迭代更新说明</w:t>
      </w:r>
    </w:p>
    <w:p w14:paraId="57FACB33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  <w:r>
        <w:rPr>
          <w:rFonts w:hint="eastAsia"/>
          <w:color w:val="2D5FAC"/>
          <w:spacing w:val="3"/>
          <w:position w:val="-1"/>
          <w:sz w:val="31"/>
          <w:szCs w:val="31"/>
        </w:rPr>
        <w:t xml:space="preserve">版本 </w:t>
      </w:r>
      <w:r>
        <w:rPr>
          <w:rFonts w:hint="eastAsia"/>
          <w:color w:val="2D5FAC"/>
          <w:spacing w:val="3"/>
          <w:position w:val="-1"/>
          <w:sz w:val="31"/>
          <w:szCs w:val="31"/>
          <w:lang w:eastAsia="zh-CN"/>
        </w:rPr>
        <w:t>1</w:t>
      </w:r>
      <w:r>
        <w:rPr>
          <w:rFonts w:hint="eastAsia"/>
          <w:color w:val="2D5FAC"/>
          <w:spacing w:val="3"/>
          <w:position w:val="-1"/>
          <w:sz w:val="31"/>
          <w:szCs w:val="31"/>
        </w:rPr>
        <w:t>.</w:t>
      </w:r>
      <w:r>
        <w:rPr>
          <w:rFonts w:hint="eastAsia"/>
          <w:color w:val="2D5FAC"/>
          <w:spacing w:val="3"/>
          <w:position w:val="-1"/>
          <w:sz w:val="31"/>
          <w:szCs w:val="31"/>
          <w:lang w:eastAsia="zh-CN"/>
        </w:rPr>
        <w:t>5</w:t>
      </w:r>
      <w:r>
        <w:rPr>
          <w:rFonts w:hint="eastAsia"/>
          <w:color w:val="2D5FAC"/>
          <w:spacing w:val="3"/>
          <w:position w:val="-1"/>
          <w:sz w:val="31"/>
          <w:szCs w:val="31"/>
        </w:rPr>
        <w:t>.</w:t>
      </w:r>
      <w:r>
        <w:rPr>
          <w:rFonts w:hint="eastAsia"/>
          <w:color w:val="2D5FAC"/>
          <w:spacing w:val="3"/>
          <w:position w:val="-1"/>
          <w:sz w:val="31"/>
          <w:szCs w:val="31"/>
          <w:lang w:eastAsia="zh-CN"/>
        </w:rPr>
        <w:t>3</w:t>
      </w:r>
      <w:r>
        <w:rPr>
          <w:rFonts w:hint="eastAsia"/>
          <w:color w:val="2D5FAC"/>
          <w:spacing w:val="3"/>
          <w:position w:val="-1"/>
          <w:sz w:val="31"/>
          <w:szCs w:val="31"/>
        </w:rPr>
        <w:t>2024.0</w:t>
      </w:r>
      <w:r>
        <w:rPr>
          <w:rFonts w:hint="eastAsia"/>
          <w:color w:val="2D5FAC"/>
          <w:spacing w:val="3"/>
          <w:position w:val="-1"/>
          <w:sz w:val="31"/>
          <w:szCs w:val="31"/>
          <w:lang w:eastAsia="zh-CN"/>
        </w:rPr>
        <w:t>8</w:t>
      </w:r>
      <w:r>
        <w:rPr>
          <w:rFonts w:hint="eastAsia"/>
          <w:color w:val="2D5FAC"/>
          <w:spacing w:val="3"/>
          <w:position w:val="-1"/>
          <w:sz w:val="31"/>
          <w:szCs w:val="31"/>
        </w:rPr>
        <w:t>.14</w:t>
      </w:r>
    </w:p>
    <w:p w14:paraId="7F3EBF54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315E88FD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4805481E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638977A6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256F26A7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6BC7E9E3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79E4F7E3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43DBCD90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6AB631E5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4923922C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3CFFF2F1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2B5B3BDF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146FFD11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44B0DEBB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2835B3D6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09F864BD">
      <w:pPr>
        <w:pStyle w:val="3"/>
        <w:spacing w:before="148" w:line="329" w:lineRule="exact"/>
        <w:rPr>
          <w:color w:val="2D5FAC"/>
          <w:spacing w:val="3"/>
          <w:position w:val="-1"/>
          <w:sz w:val="31"/>
          <w:szCs w:val="31"/>
        </w:rPr>
      </w:pPr>
    </w:p>
    <w:p w14:paraId="22452E7E"/>
    <w:p w14:paraId="12F48808">
      <w:pPr>
        <w:spacing w:before="373" w:line="228" w:lineRule="auto"/>
        <w:outlineLvl w:val="0"/>
        <w:rPr>
          <w:b/>
          <w:bCs/>
          <w:spacing w:val="-2"/>
          <w:sz w:val="52"/>
          <w:szCs w:val="52"/>
        </w:rPr>
      </w:pPr>
      <w:r>
        <w:rPr>
          <w:rFonts w:hint="eastAsia"/>
          <w:b/>
          <w:bCs/>
          <w:spacing w:val="-2"/>
          <w:sz w:val="52"/>
          <w:szCs w:val="52"/>
        </w:rPr>
        <w:t>V1.5.3版本迭代</w:t>
      </w:r>
    </w:p>
    <w:p w14:paraId="6C0FB800"/>
    <w:p w14:paraId="320DA65D">
      <w:r>
        <w:rPr>
          <w:rFonts w:hint="eastAsia"/>
        </w:rPr>
        <w:t>更新功能如下：</w:t>
      </w:r>
    </w:p>
    <w:p w14:paraId="08F9EDB8"/>
    <w:p w14:paraId="67DB553F">
      <w:pPr>
        <w:numPr>
          <w:ilvl w:val="0"/>
          <w:numId w:val="1"/>
        </w:numPr>
        <w:spacing w:before="120" w:after="120" w:line="288" w:lineRule="auto"/>
        <w:outlineLvl w:val="1"/>
      </w:pPr>
      <w:r>
        <w:rPr>
          <w:rFonts w:hint="eastAsia"/>
        </w:rPr>
        <w:t>WITS模块增加了自动重连、断点续传、多通道传输的功能</w:t>
      </w:r>
    </w:p>
    <w:p w14:paraId="5957B602">
      <w:pPr>
        <w:numPr>
          <w:ilvl w:val="0"/>
          <w:numId w:val="2"/>
        </w:numPr>
        <w:spacing w:before="120" w:after="120" w:line="288" w:lineRule="auto"/>
        <w:ind w:left="453"/>
      </w:pPr>
      <w:r>
        <w:rPr>
          <w:rFonts w:hint="eastAsia"/>
        </w:rPr>
        <w:t>如下图所示，在菜单【通信】下，选择【WITS设置】，显示WITS设置界面，如下。</w:t>
      </w:r>
    </w:p>
    <w:p w14:paraId="4B950917">
      <w:r>
        <w:rPr>
          <w:snapToGrid/>
        </w:rPr>
        <w:drawing>
          <wp:inline distT="0" distB="0" distL="0" distR="0">
            <wp:extent cx="5313680" cy="3538855"/>
            <wp:effectExtent l="1905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53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6E48E">
      <w:r>
        <w:rPr>
          <w:rFonts w:hint="eastAsia"/>
        </w:rPr>
        <w:t>单击添加按钮，增加连接通道（通道总数上限10个），双击表格内可修改对应值</w:t>
      </w:r>
    </w:p>
    <w:p w14:paraId="3EDE5600">
      <w:r>
        <w:rPr>
          <w:rFonts w:hint="eastAsia"/>
        </w:rPr>
        <w:t>【连接方式】：包括TCP客户端、TCP服务端、UDP、串口。</w:t>
      </w:r>
    </w:p>
    <w:p w14:paraId="1D28B051">
      <w:r>
        <w:rPr>
          <w:rFonts w:hint="eastAsia"/>
        </w:rPr>
        <w:t>【IP】：当连接方式选择TCP客户端、TCP服务端、UDP时，设置服务器的IP地址。</w:t>
      </w:r>
    </w:p>
    <w:p w14:paraId="55346490">
      <w:r>
        <w:rPr>
          <w:rFonts w:hint="eastAsia"/>
        </w:rPr>
        <w:t>【端口】：当连接方式选择TCP客户端、TCP服务端、UDP时，设置服务器的端口号。</w:t>
      </w:r>
    </w:p>
    <w:p w14:paraId="5040CEB5">
      <w:r>
        <w:rPr>
          <w:rFonts w:hint="eastAsia"/>
        </w:rPr>
        <w:t>【串口】：当连接方式选择串口时，设置数据发送的串口号。</w:t>
      </w:r>
    </w:p>
    <w:p w14:paraId="7B74FDEA">
      <w:r>
        <w:rPr>
          <w:rFonts w:hint="eastAsia"/>
        </w:rPr>
        <w:t>【波特率】：当连接方式选择串口时，设置所连接串口的波特率。</w:t>
      </w:r>
    </w:p>
    <w:p w14:paraId="1D16FF48">
      <w:r>
        <w:rPr>
          <w:rFonts w:hint="eastAsia"/>
        </w:rPr>
        <w:t>【是否启用】：可选择启用、禁用，当选择禁用时，此通道不发送数据。</w:t>
      </w:r>
    </w:p>
    <w:p w14:paraId="39846FCF">
      <w:r>
        <w:rPr>
          <w:rFonts w:hint="eastAsia"/>
        </w:rPr>
        <w:t>单击删除按钮，删除选中的通道。</w:t>
      </w:r>
    </w:p>
    <w:p w14:paraId="2AB86B83">
      <w:pPr>
        <w:numPr>
          <w:ilvl w:val="0"/>
          <w:numId w:val="2"/>
        </w:numPr>
        <w:spacing w:before="120" w:after="120" w:line="288" w:lineRule="auto"/>
        <w:ind w:left="453"/>
      </w:pPr>
      <w:r>
        <w:rPr>
          <w:rFonts w:hint="eastAsia"/>
        </w:rPr>
        <w:t>在数据传输上支持自动重连、断点续传功能。</w:t>
      </w:r>
    </w:p>
    <w:p w14:paraId="01B3FCD3">
      <w:pPr>
        <w:numPr>
          <w:ilvl w:val="0"/>
          <w:numId w:val="3"/>
        </w:numPr>
        <w:spacing w:before="120" w:after="120" w:line="288" w:lineRule="auto"/>
        <w:outlineLvl w:val="1"/>
      </w:pPr>
      <w:r>
        <w:rPr>
          <w:rFonts w:hint="eastAsia"/>
        </w:rPr>
        <w:t>增加了在地图中显示井眼轨迹的功能</w:t>
      </w:r>
    </w:p>
    <w:p w14:paraId="4DE93C33">
      <w:r>
        <w:rPr>
          <w:rFonts w:hint="eastAsia"/>
        </w:rPr>
        <w:t>打开dees软件，选择菜单 “设置”“地图轨迹”，打开地图轨迹界面（即 非开挖配套轨迹软件）</w:t>
      </w:r>
    </w:p>
    <w:p w14:paraId="21044F47">
      <w:r>
        <w:rPr>
          <w:snapToGrid/>
        </w:rPr>
        <w:drawing>
          <wp:inline distT="0" distB="0" distL="0" distR="0">
            <wp:extent cx="4993640" cy="140716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D1350">
      <w:r>
        <w:rPr>
          <w:snapToGrid/>
        </w:rPr>
        <w:drawing>
          <wp:inline distT="0" distB="0" distL="0" distR="0">
            <wp:extent cx="5313680" cy="2878455"/>
            <wp:effectExtent l="19050" t="0" r="127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87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4E8DBC">
      <w:pPr>
        <w:numPr>
          <w:ilvl w:val="0"/>
          <w:numId w:val="4"/>
        </w:numPr>
        <w:spacing w:before="120" w:after="120" w:line="288" w:lineRule="auto"/>
        <w:ind w:left="453"/>
      </w:pPr>
      <w:r>
        <w:rPr>
          <w:rFonts w:hint="eastAsia"/>
        </w:rPr>
        <w:t>在二维地图上显示管线所在出入口</w:t>
      </w:r>
    </w:p>
    <w:p w14:paraId="6D81CF3D">
      <w:r>
        <w:rPr>
          <w:rFonts w:hint="eastAsia"/>
        </w:rPr>
        <w:t>右上表格为井信息位置表格，左侧地图显示标记出各个井的出入口位置，双击单元格可修改对应值，标记列设置该井是否在地图标记，0为不标记，1为标记。</w:t>
      </w:r>
    </w:p>
    <w:p w14:paraId="793A4A87">
      <w:r>
        <w:rPr>
          <w:snapToGrid/>
        </w:rPr>
        <w:drawing>
          <wp:inline distT="0" distB="0" distL="0" distR="0">
            <wp:extent cx="5313680" cy="1134745"/>
            <wp:effectExtent l="19050" t="0" r="127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13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C38FA">
      <w:r>
        <w:rPr>
          <w:rFonts w:hint="eastAsia"/>
        </w:rPr>
        <w:t>如下图，在地图中显示各个井的出入口位置。</w:t>
      </w:r>
    </w:p>
    <w:p w14:paraId="62A97F8D">
      <w:pPr>
        <w:rPr>
          <w:rFonts w:hint="eastAsia"/>
        </w:rPr>
      </w:pPr>
    </w:p>
    <w:p w14:paraId="1ABFB02E">
      <w:r>
        <w:rPr>
          <w:snapToGrid/>
        </w:rPr>
        <w:drawing>
          <wp:inline distT="0" distB="0" distL="0" distR="0">
            <wp:extent cx="4961890" cy="2560320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0DF9B">
      <w:r>
        <w:t>在地图上显示二维轨迹线</w:t>
      </w:r>
    </w:p>
    <w:p w14:paraId="765A68DF">
      <w:pPr>
        <w:rPr>
          <w:rFonts w:hint="eastAsia"/>
        </w:rPr>
      </w:pPr>
      <w:r>
        <w:rPr>
          <w:rFonts w:hint="eastAsia"/>
          <w:snapToGrid/>
        </w:rPr>
        <w:drawing>
          <wp:inline distT="0" distB="0" distL="0" distR="0">
            <wp:extent cx="5313680" cy="2878455"/>
            <wp:effectExtent l="1905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87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4E150"/>
    <w:p w14:paraId="5265BC6B">
      <w:pPr>
        <w:numPr>
          <w:ilvl w:val="0"/>
          <w:numId w:val="4"/>
        </w:numPr>
        <w:spacing w:before="120" w:after="120" w:line="288" w:lineRule="auto"/>
        <w:ind w:left="453"/>
      </w:pPr>
      <w:r>
        <w:rPr>
          <w:rFonts w:hint="eastAsia"/>
        </w:rPr>
        <w:t>轨迹三维图形显示</w:t>
      </w:r>
    </w:p>
    <w:p w14:paraId="3377B579">
      <w:r>
        <w:rPr>
          <w:rFonts w:hint="eastAsia"/>
        </w:rPr>
        <w:t>在界面右下角，显示该井的的三维图形，三轴坐标分别为“垂深”“东坐标”“北坐标”</w:t>
      </w:r>
    </w:p>
    <w:p w14:paraId="61070A63">
      <w:r>
        <w:rPr>
          <w:snapToGrid/>
        </w:rPr>
        <w:drawing>
          <wp:inline distT="0" distB="0" distL="0" distR="0">
            <wp:extent cx="5313680" cy="3249295"/>
            <wp:effectExtent l="1905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24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5BA13A">
      <w:r>
        <w:rPr>
          <w:rFonts w:hint="eastAsia"/>
        </w:rPr>
        <w:t>选择“轨迹数据”选项卡，可查看轨迹数据</w:t>
      </w:r>
    </w:p>
    <w:p w14:paraId="4DE09E14">
      <w:r>
        <w:rPr>
          <w:snapToGrid/>
        </w:rPr>
        <w:drawing>
          <wp:inline distT="0" distB="0" distL="0" distR="0">
            <wp:extent cx="5313680" cy="3458210"/>
            <wp:effectExtent l="1905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45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1A1C3"/>
    <w:p w14:paraId="0E9DB155">
      <w:pPr>
        <w:numPr>
          <w:ilvl w:val="0"/>
          <w:numId w:val="4"/>
        </w:numPr>
        <w:spacing w:before="120" w:after="120" w:line="288" w:lineRule="auto"/>
        <w:ind w:left="453"/>
      </w:pPr>
      <w:r>
        <w:rPr>
          <w:rFonts w:hint="eastAsia"/>
        </w:rPr>
        <w:t>管线出口入口位置绝对坐标定位</w:t>
      </w:r>
    </w:p>
    <w:p w14:paraId="250B0530">
      <w:r>
        <w:rPr>
          <w:rFonts w:hint="eastAsia"/>
        </w:rPr>
        <w:t>定位功能采用RTK定位仪器定位，仪器配套手簿，打开定位APP（地脉APP）直接显示当前定位结果，定位结果填入软件界面右上角井位置信息表格中。</w:t>
      </w:r>
    </w:p>
    <w:p w14:paraId="631F422A">
      <w:pPr>
        <w:numPr>
          <w:ilvl w:val="0"/>
          <w:numId w:val="4"/>
        </w:numPr>
        <w:spacing w:before="120" w:after="120" w:line="288" w:lineRule="auto"/>
        <w:ind w:left="453"/>
        <w:rPr>
          <w:color w:val="auto"/>
        </w:rPr>
      </w:pPr>
      <w:r>
        <w:rPr>
          <w:rFonts w:hint="eastAsia"/>
          <w:color w:val="auto"/>
        </w:rPr>
        <w:t>管线轨迹防碰报警模块</w:t>
      </w:r>
    </w:p>
    <w:p w14:paraId="6E77427C">
      <w:pPr>
        <w:pStyle w:val="10"/>
        <w:ind w:left="425" w:firstLine="0" w:firstLineChars="0"/>
      </w:pPr>
      <w:r>
        <w:rPr>
          <w:rFonts w:hint="eastAsia"/>
        </w:rPr>
        <w:t>有多个井的管线轨迹数据时，后台实时计算各个井之间的最短距离。当有两口井的最短距离小于防碰报警距离时，弹窗提示。</w:t>
      </w:r>
    </w:p>
    <w:p w14:paraId="44ADD369">
      <w:pPr>
        <w:pStyle w:val="10"/>
        <w:ind w:left="425" w:firstLine="0" w:firstLineChars="0"/>
      </w:pPr>
      <w:r>
        <w:rPr>
          <w:rFonts w:hint="eastAsia"/>
        </w:rPr>
        <w:t>如下图，右键表格，选择“防碰报警设置”</w:t>
      </w:r>
    </w:p>
    <w:p w14:paraId="2CA483D4">
      <w:pPr>
        <w:pStyle w:val="10"/>
        <w:ind w:left="425" w:firstLine="0" w:firstLineChars="0"/>
      </w:pPr>
      <w:r>
        <w:rPr>
          <w:snapToGrid/>
        </w:rPr>
        <w:drawing>
          <wp:inline distT="0" distB="0" distL="0" distR="0">
            <wp:extent cx="5313680" cy="1832610"/>
            <wp:effectExtent l="1905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8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D9341">
      <w:pPr>
        <w:pStyle w:val="10"/>
        <w:ind w:left="425" w:firstLine="0" w:firstLineChars="0"/>
      </w:pPr>
      <w:r>
        <w:rPr>
          <w:rFonts w:hint="eastAsia"/>
        </w:rPr>
        <w:t>设置防碰报警距离</w:t>
      </w:r>
    </w:p>
    <w:p w14:paraId="5BB32A8F">
      <w:pPr>
        <w:pStyle w:val="10"/>
        <w:ind w:left="425" w:firstLine="0" w:firstLineChars="0"/>
      </w:pPr>
      <w:r>
        <w:rPr>
          <w:snapToGrid/>
        </w:rPr>
        <w:drawing>
          <wp:inline distT="0" distB="0" distL="0" distR="0">
            <wp:extent cx="1979930" cy="1248410"/>
            <wp:effectExtent l="1905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A087EF">
      <w:pPr>
        <w:pStyle w:val="10"/>
        <w:ind w:left="425" w:firstLine="0" w:firstLineChars="0"/>
      </w:pPr>
      <w:r>
        <w:rPr>
          <w:rFonts w:hint="eastAsia"/>
        </w:rPr>
        <w:t>当有两口井的最短距离小于防碰报警距离时，弹窗提示。</w:t>
      </w:r>
    </w:p>
    <w:p w14:paraId="0BB60194">
      <w:pPr>
        <w:pStyle w:val="10"/>
        <w:ind w:left="425" w:firstLine="0" w:firstLineChars="0"/>
      </w:pPr>
      <w:r>
        <w:rPr>
          <w:snapToGrid/>
        </w:rPr>
        <w:drawing>
          <wp:inline distT="0" distB="0" distL="0" distR="0">
            <wp:extent cx="3609975" cy="216281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213416">
      <w:pPr>
        <w:numPr>
          <w:ilvl w:val="0"/>
          <w:numId w:val="4"/>
        </w:numPr>
        <w:spacing w:before="120" w:after="120" w:line="288" w:lineRule="auto"/>
        <w:ind w:left="453"/>
        <w:rPr>
          <w:color w:val="auto"/>
        </w:rPr>
      </w:pPr>
      <w:r>
        <w:rPr>
          <w:rFonts w:hint="eastAsia"/>
          <w:color w:val="auto"/>
        </w:rPr>
        <w:t>轨迹数据上传</w:t>
      </w:r>
    </w:p>
    <w:p w14:paraId="5E13240C">
      <w:r>
        <w:rPr>
          <w:snapToGrid/>
        </w:rPr>
        <w:drawing>
          <wp:inline distT="0" distB="0" distL="0" distR="0">
            <wp:extent cx="5313680" cy="3364865"/>
            <wp:effectExtent l="19050" t="0" r="12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36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71AC3">
      <w:r>
        <w:rPr>
          <w:rFonts w:hint="eastAsia"/>
        </w:rPr>
        <w:t>目前轨迹数据在后台实时上传至云平台。</w:t>
      </w:r>
    </w:p>
    <w:p w14:paraId="6E3D5B55">
      <w:pPr>
        <w:numPr>
          <w:ilvl w:val="0"/>
          <w:numId w:val="4"/>
        </w:numPr>
        <w:spacing w:before="120" w:after="120" w:line="288" w:lineRule="auto"/>
        <w:ind w:left="453"/>
        <w:rPr>
          <w:color w:val="auto"/>
        </w:rPr>
      </w:pPr>
      <w:r>
        <w:rPr>
          <w:rFonts w:hint="eastAsia"/>
          <w:color w:val="auto"/>
        </w:rPr>
        <w:t>管线搜索</w:t>
      </w:r>
    </w:p>
    <w:p w14:paraId="4D6EDE3A">
      <w:r>
        <w:t>在右上角名称编辑框</w:t>
      </w:r>
      <w:r>
        <w:rPr>
          <w:rFonts w:hint="eastAsia"/>
        </w:rPr>
        <w:t>输入井名，单击查询，显示查询到的井信息</w:t>
      </w:r>
    </w:p>
    <w:p w14:paraId="410888F2">
      <w:pPr>
        <w:rPr>
          <w:rFonts w:hint="eastAsia"/>
        </w:rPr>
      </w:pPr>
      <w:r>
        <w:rPr>
          <w:rFonts w:hint="eastAsia"/>
          <w:snapToGrid/>
        </w:rPr>
        <w:drawing>
          <wp:inline distT="0" distB="0" distL="0" distR="0">
            <wp:extent cx="5313680" cy="876300"/>
            <wp:effectExtent l="19050" t="0" r="1270" b="0"/>
            <wp:docPr id="1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7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771C0"/>
    <w:p w14:paraId="54A51CE2">
      <w:pPr>
        <w:rPr>
          <w:rFonts w:hint="eastAsia"/>
        </w:rPr>
      </w:pPr>
      <w:r>
        <w:rPr>
          <w:rFonts w:hint="eastAsia"/>
          <w:snapToGrid/>
        </w:rPr>
        <w:drawing>
          <wp:inline distT="0" distB="0" distL="0" distR="0">
            <wp:extent cx="5313680" cy="551180"/>
            <wp:effectExtent l="19050" t="0" r="127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55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AE049">
      <w:pPr>
        <w:numPr>
          <w:ilvl w:val="0"/>
          <w:numId w:val="5"/>
        </w:numPr>
        <w:spacing w:before="120" w:after="120" w:line="288" w:lineRule="auto"/>
        <w:outlineLvl w:val="1"/>
      </w:pPr>
      <w:r>
        <w:rPr>
          <w:rFonts w:hint="eastAsia"/>
        </w:rPr>
        <w:t>增加了电阻率解码量程可设置的功能</w:t>
      </w:r>
    </w:p>
    <w:p w14:paraId="5D4A61BE">
      <w:pPr>
        <w:ind w:firstLine="420"/>
      </w:pPr>
      <w:r>
        <w:rPr>
          <w:rFonts w:hint="eastAsia"/>
        </w:rPr>
        <w:t>在【设备】菜单下，打开【电阻率】菜单下【电阻率设置】选项，显示如下：</w:t>
      </w:r>
    </w:p>
    <w:p w14:paraId="624F4138">
      <w:pPr>
        <w:spacing w:before="120" w:after="120" w:line="288" w:lineRule="auto"/>
        <w:ind w:left="453"/>
        <w:jc w:val="center"/>
      </w:pPr>
      <w:r>
        <w:rPr>
          <w:snapToGrid/>
        </w:rPr>
        <w:drawing>
          <wp:inline distT="0" distB="0" distL="0" distR="0">
            <wp:extent cx="5313680" cy="4803775"/>
            <wp:effectExtent l="19050" t="0" r="127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480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66D2F">
      <w:pPr>
        <w:spacing w:before="120" w:after="120" w:line="288" w:lineRule="auto"/>
        <w:ind w:left="453"/>
        <w:jc w:val="both"/>
        <w:rPr>
          <w:rFonts w:hint="eastAsia"/>
        </w:rPr>
      </w:pPr>
      <w:r>
        <w:rPr>
          <w:rFonts w:hint="eastAsia"/>
        </w:rPr>
        <w:t>修改电阻率量程数进行设置。</w:t>
      </w:r>
    </w:p>
    <w:p w14:paraId="48EAC91D">
      <w:pPr>
        <w:spacing w:before="120" w:after="120" w:line="288" w:lineRule="auto"/>
        <w:ind w:left="453"/>
        <w:jc w:val="both"/>
        <w:rPr>
          <w:rFonts w:hint="eastAsia"/>
        </w:rPr>
      </w:pPr>
    </w:p>
    <w:p w14:paraId="5BAEE469">
      <w:pPr>
        <w:numPr>
          <w:ilvl w:val="0"/>
          <w:numId w:val="5"/>
        </w:numPr>
        <w:spacing w:before="120" w:after="120" w:line="288" w:lineRule="auto"/>
        <w:outlineLvl w:val="1"/>
      </w:pPr>
      <w:r>
        <w:rPr>
          <w:rFonts w:hint="eastAsia"/>
        </w:rPr>
        <w:t>增加了电池剩余电量计算的功能</w:t>
      </w:r>
    </w:p>
    <w:p w14:paraId="0F8EFB67">
      <w:r>
        <w:rPr>
          <w:rFonts w:hint="eastAsia"/>
        </w:rPr>
        <w:t>在主菜单【工具】下，打开【电池数据记录】，显示如下：</w:t>
      </w:r>
    </w:p>
    <w:p w14:paraId="0BBA592B">
      <w:r>
        <w:rPr>
          <w:snapToGrid/>
        </w:rPr>
        <w:drawing>
          <wp:inline distT="0" distB="0" distL="0" distR="0">
            <wp:extent cx="5313680" cy="2976880"/>
            <wp:effectExtent l="19050" t="0" r="1270" b="0"/>
            <wp:docPr id="1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97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150FB"/>
    <w:p w14:paraId="0E12DA5B">
      <w:r>
        <w:t>总使用时间表格增加电池寿命、剩余时间、剩余占比</w:t>
      </w:r>
    </w:p>
    <w:p w14:paraId="2875DA12">
      <w:pPr>
        <w:spacing w:before="120" w:after="120" w:line="288" w:lineRule="auto"/>
        <w:jc w:val="both"/>
      </w:pPr>
      <w:r>
        <w:rPr>
          <w:snapToGrid/>
        </w:rPr>
        <w:drawing>
          <wp:inline distT="0" distB="0" distL="0" distR="0">
            <wp:extent cx="5313680" cy="1538605"/>
            <wp:effectExtent l="19050" t="0" r="1270" b="0"/>
            <wp:docPr id="2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53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91B316">
      <w:pPr>
        <w:numPr>
          <w:ilvl w:val="0"/>
          <w:numId w:val="5"/>
        </w:numPr>
        <w:spacing w:before="120" w:after="120" w:line="288" w:lineRule="auto"/>
        <w:outlineLvl w:val="1"/>
      </w:pPr>
      <w:r>
        <w:rPr>
          <w:rFonts w:hint="eastAsia"/>
        </w:rPr>
        <w:t>增加了重力和、方位校正的功能</w:t>
      </w:r>
    </w:p>
    <w:p w14:paraId="1AAC87F3">
      <w:r>
        <w:rPr>
          <w:rFonts w:hint="eastAsia"/>
        </w:rPr>
        <w:t>新建项目时，注意要填写正确的当地经纬度、海拔，用于修正工作。</w:t>
      </w:r>
    </w:p>
    <w:p w14:paraId="1BE19BC6">
      <w:pPr>
        <w:rPr>
          <w:b/>
        </w:rPr>
      </w:pPr>
      <w:r>
        <w:rPr>
          <w:b/>
          <w:snapToGrid/>
        </w:rPr>
        <w:drawing>
          <wp:inline distT="0" distB="0" distL="0" distR="0">
            <wp:extent cx="5313680" cy="2916555"/>
            <wp:effectExtent l="19050" t="0" r="127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91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79BD1">
      <w:pPr>
        <w:rPr>
          <w:b/>
        </w:rPr>
      </w:pPr>
      <w:r>
        <w:rPr>
          <w:rFonts w:hint="eastAsia"/>
        </w:rPr>
        <w:t>工作模式界面增加“QC校核”选项，当启用此项时，重力和、方位进行修正工作，当禁用此项时，重力和、方位不执行修正。</w:t>
      </w:r>
    </w:p>
    <w:p w14:paraId="179DF561">
      <w:pPr>
        <w:spacing w:before="120" w:after="120" w:line="288" w:lineRule="auto"/>
        <w:outlineLvl w:val="1"/>
      </w:pPr>
      <w:r>
        <w:rPr>
          <w:snapToGrid/>
        </w:rPr>
        <w:drawing>
          <wp:inline distT="0" distB="0" distL="0" distR="0">
            <wp:extent cx="5313680" cy="4234815"/>
            <wp:effectExtent l="19050" t="0" r="127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423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7" w:h="16839"/>
      <w:pgMar w:top="1264" w:right="1768" w:bottom="1795" w:left="1771" w:header="854" w:footer="129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singleLevel"/>
    <w:tmpl w:val="CF092B84"/>
    <w:lvl w:ilvl="0" w:tentative="0">
      <w:start w:val="1"/>
      <w:numFmt w:val="lowerLetter"/>
      <w:lvlText w:val="%1."/>
      <w:lvlJc w:val="left"/>
      <w:pPr>
        <w:tabs>
          <w:tab w:val="left" w:pos="0"/>
        </w:tabs>
        <w:ind w:left="0"/>
      </w:pPr>
      <w:rPr>
        <w:color w:val="3370FF"/>
      </w:rPr>
    </w:lvl>
  </w:abstractNum>
  <w:abstractNum w:abstractNumId="1">
    <w:nsid w:val="0053208E"/>
    <w:multiLevelType w:val="singleLevel"/>
    <w:tmpl w:val="0053208E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2">
    <w:nsid w:val="03D62ECE"/>
    <w:multiLevelType w:val="singleLevel"/>
    <w:tmpl w:val="03D62ECE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3">
    <w:nsid w:val="25B654F3"/>
    <w:multiLevelType w:val="multilevel"/>
    <w:tmpl w:val="25B654F3"/>
    <w:lvl w:ilvl="0" w:tentative="0">
      <w:start w:val="3"/>
      <w:numFmt w:val="decimal"/>
      <w:lvlText w:val="%1."/>
      <w:lvlJc w:val="left"/>
      <w:rPr>
        <w:color w:val="3370FF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>
    <w:nsid w:val="5A2243C8"/>
    <w:multiLevelType w:val="singleLevel"/>
    <w:tmpl w:val="5A2243C8"/>
    <w:lvl w:ilvl="0" w:tentative="0">
      <w:start w:val="1"/>
      <w:numFmt w:val="lowerLetter"/>
      <w:lvlText w:val="%1."/>
      <w:lvlJc w:val="left"/>
      <w:pPr>
        <w:tabs>
          <w:tab w:val="left" w:pos="0"/>
        </w:tabs>
        <w:ind w:left="0"/>
      </w:pPr>
      <w:rPr>
        <w:color w:val="3370FF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cyZDk3ZTYxZGNhZGJjYzdhNmNkNDYzNzFkMDk2MDEifQ=="/>
  </w:docVars>
  <w:rsids>
    <w:rsidRoot w:val="732D4870"/>
    <w:rsid w:val="001303C5"/>
    <w:rsid w:val="001D4C85"/>
    <w:rsid w:val="00202865"/>
    <w:rsid w:val="00452E24"/>
    <w:rsid w:val="0059393A"/>
    <w:rsid w:val="00A010BF"/>
    <w:rsid w:val="01D211CC"/>
    <w:rsid w:val="03195159"/>
    <w:rsid w:val="04F44D0B"/>
    <w:rsid w:val="06C35235"/>
    <w:rsid w:val="12E11965"/>
    <w:rsid w:val="13FA068E"/>
    <w:rsid w:val="15A96B4A"/>
    <w:rsid w:val="174B2FAF"/>
    <w:rsid w:val="18371EB1"/>
    <w:rsid w:val="1AE14356"/>
    <w:rsid w:val="1BAA0BEC"/>
    <w:rsid w:val="1D6B70C7"/>
    <w:rsid w:val="1DD85009"/>
    <w:rsid w:val="20DD3944"/>
    <w:rsid w:val="222B1319"/>
    <w:rsid w:val="23A7020F"/>
    <w:rsid w:val="285E6FE6"/>
    <w:rsid w:val="2AD73080"/>
    <w:rsid w:val="2ADD3E6F"/>
    <w:rsid w:val="2B395EC5"/>
    <w:rsid w:val="2C047EA4"/>
    <w:rsid w:val="2C864D5D"/>
    <w:rsid w:val="2CA3146B"/>
    <w:rsid w:val="2D4C4236"/>
    <w:rsid w:val="2ED55D3D"/>
    <w:rsid w:val="2EE6563F"/>
    <w:rsid w:val="2F575CBA"/>
    <w:rsid w:val="30B20490"/>
    <w:rsid w:val="32690A61"/>
    <w:rsid w:val="32EC51EE"/>
    <w:rsid w:val="3462703E"/>
    <w:rsid w:val="34B63D06"/>
    <w:rsid w:val="37CA57B0"/>
    <w:rsid w:val="397C3770"/>
    <w:rsid w:val="3A5C6756"/>
    <w:rsid w:val="3BE949C1"/>
    <w:rsid w:val="3C08753D"/>
    <w:rsid w:val="3C5462DE"/>
    <w:rsid w:val="41405083"/>
    <w:rsid w:val="420430C3"/>
    <w:rsid w:val="44A363BC"/>
    <w:rsid w:val="44F87A23"/>
    <w:rsid w:val="47652830"/>
    <w:rsid w:val="480069FF"/>
    <w:rsid w:val="485F6737"/>
    <w:rsid w:val="488937B4"/>
    <w:rsid w:val="4A7A6465"/>
    <w:rsid w:val="4B4E4840"/>
    <w:rsid w:val="4BDA0368"/>
    <w:rsid w:val="4EA01857"/>
    <w:rsid w:val="52DB2974"/>
    <w:rsid w:val="53C21167"/>
    <w:rsid w:val="5402613C"/>
    <w:rsid w:val="54AB2D04"/>
    <w:rsid w:val="55794BB0"/>
    <w:rsid w:val="559E63C4"/>
    <w:rsid w:val="58EB2E9D"/>
    <w:rsid w:val="5903310E"/>
    <w:rsid w:val="5B1E422F"/>
    <w:rsid w:val="5C472A4D"/>
    <w:rsid w:val="5DEC23C3"/>
    <w:rsid w:val="5EA66A16"/>
    <w:rsid w:val="5F1B40AA"/>
    <w:rsid w:val="5F98048A"/>
    <w:rsid w:val="5FFE1F39"/>
    <w:rsid w:val="614B38A4"/>
    <w:rsid w:val="63D062E3"/>
    <w:rsid w:val="64DC2CF4"/>
    <w:rsid w:val="6517448A"/>
    <w:rsid w:val="661B0340"/>
    <w:rsid w:val="66650F64"/>
    <w:rsid w:val="676726D3"/>
    <w:rsid w:val="67A91325"/>
    <w:rsid w:val="67DD04F9"/>
    <w:rsid w:val="69205616"/>
    <w:rsid w:val="693469CC"/>
    <w:rsid w:val="6D68049C"/>
    <w:rsid w:val="6D877A12"/>
    <w:rsid w:val="718D5813"/>
    <w:rsid w:val="732D4870"/>
    <w:rsid w:val="73DE2356"/>
    <w:rsid w:val="77324E93"/>
    <w:rsid w:val="79102FB2"/>
    <w:rsid w:val="797846B3"/>
    <w:rsid w:val="7E7318ED"/>
    <w:rsid w:val="7F7836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微软雅黑" w:hAnsi="微软雅黑" w:eastAsia="微软雅黑" w:cs="微软雅黑"/>
      <w:snapToGrid w:val="0"/>
      <w:color w:val="000000"/>
      <w:sz w:val="22"/>
      <w:szCs w:val="21"/>
      <w:lang w:val="en-US" w:eastAsia="zh-CN" w:bidi="ar-SA"/>
    </w:rPr>
  </w:style>
  <w:style w:type="paragraph" w:styleId="2">
    <w:name w:val="heading 3"/>
    <w:basedOn w:val="1"/>
    <w:next w:val="1"/>
    <w:qFormat/>
    <w:uiPriority w:val="99"/>
    <w:pPr>
      <w:spacing w:after="150"/>
      <w:outlineLvl w:val="2"/>
    </w:pPr>
    <w:rPr>
      <w:rFonts w:ascii="Trebuchet MS" w:hAnsi="Trebuchet MS" w:cs="Trebuchet MS"/>
      <w:b/>
      <w:bCs/>
      <w:color w:val="555555"/>
      <w:sz w:val="24"/>
      <w:szCs w:val="2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sz w:val="21"/>
      <w:lang w:eastAsia="en-US"/>
    </w:rPr>
  </w:style>
  <w:style w:type="paragraph" w:styleId="4">
    <w:name w:val="Balloon Text"/>
    <w:basedOn w:val="1"/>
    <w:link w:val="11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character" w:styleId="9">
    <w:name w:val="Hyperlink"/>
    <w:basedOn w:val="8"/>
    <w:qFormat/>
    <w:uiPriority w:val="99"/>
    <w:rPr>
      <w:color w:val="116699"/>
      <w:u w:val="none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8"/>
    <w:link w:val="4"/>
    <w:qFormat/>
    <w:uiPriority w:val="0"/>
    <w:rPr>
      <w:rFonts w:ascii="微软雅黑" w:hAnsi="微软雅黑" w:eastAsia="微软雅黑" w:cs="微软雅黑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1046</Words>
  <Characters>1108</Characters>
  <Lines>8</Lines>
  <Paragraphs>2</Paragraphs>
  <TotalTime>2</TotalTime>
  <ScaleCrop>false</ScaleCrop>
  <LinksUpToDate>false</LinksUpToDate>
  <CharactersWithSpaces>1111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2024-06-14T05:12:00Z</dcterms:created>
  <dc:creator>杉</dc:creator>
  <cp:lastModifiedBy>杉</cp:lastModifiedBy>
  <dcterms:modified xsi:type="dcterms:W3CDTF">2024-08-14T07:35:38Z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6660C3DA64C641AE998E1C670E9E4DB7_11</vt:lpwstr>
  </property>
</Properties>
</file>